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90" w:type="dxa"/>
        <w:jc w:val="center"/>
        <w:tblLayout w:type="fixed"/>
        <w:tblCellMar>
          <w:top w:w="10" w:type="dxa"/>
          <w:left w:w="60" w:type="dxa"/>
          <w:bottom w:w="10" w:type="dxa"/>
          <w:right w:w="60" w:type="dxa"/>
        </w:tblCellMar>
        <w:tblLook w:val="01E0"/>
      </w:tblPr>
      <w:tblGrid>
        <w:gridCol w:w="1270"/>
        <w:gridCol w:w="7200"/>
        <w:gridCol w:w="1920"/>
      </w:tblGrid>
      <w:tr w:rsidR="00BE1CFA" w:rsidTr="001229E5">
        <w:trPr>
          <w:jc w:val="center"/>
        </w:trPr>
        <w:tc>
          <w:tcPr>
            <w:tcW w:w="8470" w:type="dxa"/>
            <w:gridSpan w:val="2"/>
            <w:tcBorders>
              <w:bottom w:val="thinThickSmallGap" w:sz="24" w:space="0" w:color="auto"/>
            </w:tcBorders>
          </w:tcPr>
          <w:p w:rsidR="00BE1CFA" w:rsidRDefault="00BE1CFA" w:rsidP="00147A65">
            <w:pPr>
              <w:pStyle w:val="DayTitle"/>
            </w:pPr>
            <w:r>
              <w:t xml:space="preserve">Unit </w:t>
            </w:r>
            <w:r w:rsidR="00232246">
              <w:t>3</w:t>
            </w:r>
            <w:r>
              <w:t xml:space="preserve">:Day </w:t>
            </w:r>
            <w:r w:rsidR="00232246">
              <w:t>Tuesday Afternoon</w:t>
            </w:r>
            <w:r>
              <w:t xml:space="preserve">: </w:t>
            </w:r>
            <w:r w:rsidR="00232246">
              <w:t xml:space="preserve">Programming for Students with Learning </w:t>
            </w:r>
            <w:r w:rsidR="00147A65">
              <w:tab/>
            </w:r>
            <w:r w:rsidR="00232246">
              <w:t>Disabilities</w:t>
            </w:r>
          </w:p>
        </w:tc>
        <w:tc>
          <w:tcPr>
            <w:tcW w:w="1920" w:type="dxa"/>
            <w:tcBorders>
              <w:bottom w:val="thinThickSmallGap" w:sz="24" w:space="0" w:color="auto"/>
            </w:tcBorders>
            <w:vAlign w:val="bottom"/>
          </w:tcPr>
          <w:p w:rsidR="00BE1CFA" w:rsidRPr="00936161" w:rsidRDefault="00BE1CFA" w:rsidP="00BE1CFA">
            <w:pPr>
              <w:pStyle w:val="GradeTitle"/>
            </w:pPr>
          </w:p>
        </w:tc>
      </w:tr>
      <w:tr w:rsidR="00BE1CFA" w:rsidTr="00147A65">
        <w:trPr>
          <w:trHeight w:val="1466"/>
          <w:jc w:val="center"/>
        </w:trPr>
        <w:tc>
          <w:tcPr>
            <w:tcW w:w="1270" w:type="dxa"/>
            <w:tcBorders>
              <w:top w:val="thinThickSmallGap" w:sz="24" w:space="0" w:color="auto"/>
              <w:right w:val="single" w:sz="4" w:space="0" w:color="auto"/>
            </w:tcBorders>
            <w:vAlign w:val="bottom"/>
          </w:tcPr>
          <w:p w:rsidR="00BE1CFA" w:rsidRDefault="00BE1CFA" w:rsidP="00BE1CFA">
            <w:pPr>
              <w:pStyle w:val="timetext"/>
            </w:pPr>
          </w:p>
          <w:p w:rsidR="00BE1CFA" w:rsidRDefault="00147A65" w:rsidP="00BE1CFA">
            <w:pPr>
              <w:pStyle w:val="timetext"/>
            </w:pPr>
            <w:r>
              <w:t>120</w:t>
            </w:r>
            <w:r w:rsidR="00BE1CFA">
              <w:t xml:space="preserve"> min</w:t>
            </w:r>
          </w:p>
        </w:tc>
        <w:tc>
          <w:tcPr>
            <w:tcW w:w="72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CFA" w:rsidRDefault="00BE1CFA" w:rsidP="00BE1CFA">
            <w:pPr>
              <w:pStyle w:val="DayTableSubHead"/>
            </w:pPr>
            <w:r>
              <w:t>Math Learning Goals</w:t>
            </w:r>
          </w:p>
          <w:p w:rsidR="00BE1CFA" w:rsidRDefault="00F8429B" w:rsidP="00BE1CFA">
            <w:pPr>
              <w:pStyle w:val="DayTableBullet"/>
            </w:pPr>
            <w:r>
              <w:t xml:space="preserve">Participants will </w:t>
            </w:r>
            <w:r w:rsidR="00581A92">
              <w:t>demonstrate understanding of 5 cognitive processes; verbal comprehension, perceptual reasoning, working memory, processing speed and visual motor integration and executive functioning.</w:t>
            </w:r>
          </w:p>
          <w:p w:rsidR="00581A92" w:rsidRDefault="00F8429B" w:rsidP="00F8429B">
            <w:pPr>
              <w:pStyle w:val="DayTableBullet"/>
            </w:pPr>
            <w:r>
              <w:t xml:space="preserve">Participants will </w:t>
            </w:r>
            <w:r w:rsidR="00581A92">
              <w:t xml:space="preserve">apply understanding of 5 cognitive processes </w:t>
            </w:r>
            <w:r>
              <w:t>to</w:t>
            </w:r>
            <w:r w:rsidR="00581A92">
              <w:t xml:space="preserve"> program for students with learning disabilities</w:t>
            </w:r>
            <w:r w:rsidR="00147A65">
              <w:t>.</w:t>
            </w:r>
          </w:p>
        </w:tc>
        <w:tc>
          <w:tcPr>
            <w:tcW w:w="192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</w:tcBorders>
          </w:tcPr>
          <w:p w:rsidR="00BE1CFA" w:rsidRDefault="00BE1CFA" w:rsidP="00BE1CFA">
            <w:pPr>
              <w:pStyle w:val="MaterialHead"/>
            </w:pPr>
            <w:r>
              <w:t>Materials</w:t>
            </w:r>
          </w:p>
          <w:p w:rsidR="00BE1CFA" w:rsidRDefault="00BE1CFA" w:rsidP="00BE1CFA">
            <w:pPr>
              <w:pStyle w:val="MaterialBullet"/>
            </w:pPr>
          </w:p>
        </w:tc>
      </w:tr>
      <w:tr w:rsidR="00BE1CFA" w:rsidTr="001229E5">
        <w:trPr>
          <w:trHeight w:val="1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669900"/>
          </w:tcPr>
          <w:p w:rsidR="00BE1CFA" w:rsidRDefault="00BE1CFA" w:rsidP="00BE1CFA">
            <w:pPr>
              <w:pStyle w:val="MindsOn"/>
            </w:pPr>
          </w:p>
        </w:tc>
        <w:tc>
          <w:tcPr>
            <w:tcW w:w="7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CFA" w:rsidRPr="009968C2" w:rsidRDefault="00BE1CFA" w:rsidP="00E87BF5">
            <w:pPr>
              <w:pStyle w:val="DayTableSubHead"/>
              <w:rPr>
                <w:b w:val="0"/>
                <w:u w:val="none"/>
              </w:rPr>
            </w:pPr>
            <w:r w:rsidRPr="009141E6">
              <w:rPr>
                <w:u w:val="none"/>
              </w:rPr>
              <w:t xml:space="preserve">          </w:t>
            </w:r>
            <w:r w:rsidRPr="009141E6">
              <w:rPr>
                <w:u w:val="none"/>
              </w:rPr>
              <w:sym w:font="Wingdings" w:char="F0E0"/>
            </w:r>
            <w:r w:rsidR="00581A92" w:rsidRPr="009968C2">
              <w:rPr>
                <w:b w:val="0"/>
                <w:u w:val="none"/>
              </w:rPr>
              <w:t>IEP Individual Education Plan</w:t>
            </w:r>
          </w:p>
          <w:p w:rsidR="00581A92" w:rsidRDefault="001229E5" w:rsidP="00BE1CFA">
            <w:pPr>
              <w:pStyle w:val="DayTableSubHead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“</w:t>
            </w:r>
            <w:r w:rsidR="00581A92" w:rsidRPr="009968C2">
              <w:rPr>
                <w:b w:val="0"/>
                <w:u w:val="none"/>
              </w:rPr>
              <w:t xml:space="preserve">With a partner create a different set of words </w:t>
            </w:r>
            <w:r w:rsidR="00E0275F">
              <w:rPr>
                <w:b w:val="0"/>
                <w:u w:val="none"/>
              </w:rPr>
              <w:t>to represent</w:t>
            </w:r>
            <w:r w:rsidR="00581A92" w:rsidRPr="009968C2">
              <w:rPr>
                <w:b w:val="0"/>
                <w:u w:val="none"/>
              </w:rPr>
              <w:t xml:space="preserve"> the acronym IEP </w:t>
            </w:r>
            <w:r w:rsidR="00E0275F">
              <w:rPr>
                <w:b w:val="0"/>
                <w:u w:val="none"/>
              </w:rPr>
              <w:t xml:space="preserve">that </w:t>
            </w:r>
            <w:r w:rsidR="00581A92" w:rsidRPr="009968C2">
              <w:rPr>
                <w:b w:val="0"/>
                <w:u w:val="none"/>
              </w:rPr>
              <w:t>reflect</w:t>
            </w:r>
            <w:r w:rsidR="00E0275F">
              <w:rPr>
                <w:b w:val="0"/>
                <w:u w:val="none"/>
              </w:rPr>
              <w:t>s</w:t>
            </w:r>
            <w:r w:rsidR="00581A92" w:rsidRPr="009968C2">
              <w:rPr>
                <w:b w:val="0"/>
                <w:u w:val="none"/>
              </w:rPr>
              <w:t xml:space="preserve"> what Connie and Ruth discussed in the plenary</w:t>
            </w:r>
            <w:r w:rsidR="00147A65">
              <w:rPr>
                <w:b w:val="0"/>
                <w:u w:val="none"/>
              </w:rPr>
              <w:t>, e.g. YRCDS:</w:t>
            </w:r>
            <w:r w:rsidR="00F8429B">
              <w:rPr>
                <w:b w:val="0"/>
                <w:u w:val="none"/>
              </w:rPr>
              <w:t xml:space="preserve"> I</w:t>
            </w:r>
            <w:r w:rsidR="00E0275F">
              <w:rPr>
                <w:b w:val="0"/>
                <w:u w:val="none"/>
              </w:rPr>
              <w:t>nclusion Engagement Performance</w:t>
            </w:r>
            <w:r w:rsidR="00E97D02">
              <w:rPr>
                <w:b w:val="0"/>
                <w:u w:val="none"/>
              </w:rPr>
              <w:t>”</w:t>
            </w:r>
            <w:r w:rsidR="00E0275F">
              <w:rPr>
                <w:b w:val="0"/>
                <w:u w:val="none"/>
              </w:rPr>
              <w:t>.</w:t>
            </w:r>
          </w:p>
          <w:p w:rsidR="00BE1CFA" w:rsidRPr="00F8429B" w:rsidRDefault="00F8429B" w:rsidP="00F8429B">
            <w:pPr>
              <w:pStyle w:val="DayTableSubHead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Share acronyms with the large group.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1CFA" w:rsidRDefault="00BE1CFA" w:rsidP="00BE1CFA">
            <w:pPr>
              <w:pStyle w:val="SideBarText"/>
            </w:pPr>
          </w:p>
          <w:p w:rsidR="00BE1CFA" w:rsidRDefault="00BE1CFA" w:rsidP="00BE1CFA">
            <w:pPr>
              <w:pStyle w:val="SideBarText"/>
            </w:pPr>
          </w:p>
        </w:tc>
      </w:tr>
      <w:tr w:rsidR="00BE1CFA" w:rsidTr="001229E5">
        <w:trPr>
          <w:trHeight w:val="1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BE1CFA" w:rsidRPr="00FE7C57" w:rsidRDefault="00BE1CFA" w:rsidP="00BE1CFA">
            <w:pPr>
              <w:pStyle w:val="MindsOn"/>
              <w:rPr>
                <w:szCs w:val="20"/>
              </w:rPr>
            </w:pPr>
            <w:r w:rsidRPr="00FE7C57">
              <w:rPr>
                <w:szCs w:val="20"/>
              </w:rPr>
              <w:t>Minds On…</w:t>
            </w: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CFA" w:rsidRDefault="00BE1CFA" w:rsidP="00BE1CFA">
            <w:pPr>
              <w:pStyle w:val="DayTableSubHead"/>
            </w:pPr>
          </w:p>
        </w:tc>
        <w:tc>
          <w:tcPr>
            <w:tcW w:w="1920" w:type="dxa"/>
            <w:vMerge/>
            <w:tcBorders>
              <w:left w:val="single" w:sz="4" w:space="0" w:color="auto"/>
            </w:tcBorders>
          </w:tcPr>
          <w:p w:rsidR="00BE1CFA" w:rsidRDefault="00BE1CFA" w:rsidP="00BE1CFA">
            <w:pPr>
              <w:pStyle w:val="SideBarText"/>
            </w:pPr>
          </w:p>
        </w:tc>
      </w:tr>
      <w:tr w:rsidR="00BE1CFA" w:rsidTr="00E97D02">
        <w:trPr>
          <w:trHeight w:val="619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BE1CFA" w:rsidRPr="00147A65" w:rsidRDefault="00147A65" w:rsidP="00BE1CFA">
            <w:pPr>
              <w:pStyle w:val="SideBarText"/>
              <w:rPr>
                <w:rFonts w:ascii="Times New Roman" w:hAnsi="Times New Roman"/>
              </w:rPr>
            </w:pPr>
            <w:r w:rsidRPr="00147A65">
              <w:rPr>
                <w:rFonts w:ascii="Times New Roman" w:hAnsi="Times New Roman"/>
                <w:sz w:val="20"/>
              </w:rPr>
              <w:t>10 min</w:t>
            </w: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CFA" w:rsidRDefault="00BE1CFA" w:rsidP="00BE1CFA">
            <w:pPr>
              <w:pStyle w:val="DayTableSubHead"/>
            </w:pPr>
          </w:p>
        </w:tc>
        <w:tc>
          <w:tcPr>
            <w:tcW w:w="1920" w:type="dxa"/>
            <w:vMerge/>
            <w:tcBorders>
              <w:left w:val="single" w:sz="4" w:space="0" w:color="auto"/>
            </w:tcBorders>
          </w:tcPr>
          <w:p w:rsidR="00BE1CFA" w:rsidRDefault="00BE1CFA" w:rsidP="00BE1CFA">
            <w:pPr>
              <w:pStyle w:val="SideBarText"/>
            </w:pPr>
          </w:p>
        </w:tc>
      </w:tr>
      <w:tr w:rsidR="00BE1CFA" w:rsidTr="001229E5">
        <w:trPr>
          <w:trHeight w:val="1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FF0000"/>
          </w:tcPr>
          <w:p w:rsidR="00BE1CFA" w:rsidRDefault="00BE1CFA" w:rsidP="00BE1CFA">
            <w:pPr>
              <w:pStyle w:val="Action"/>
            </w:pPr>
          </w:p>
        </w:tc>
        <w:tc>
          <w:tcPr>
            <w:tcW w:w="7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A65" w:rsidRDefault="00BE1CFA" w:rsidP="00E87BF5">
            <w:pPr>
              <w:pStyle w:val="DayTableSubHead"/>
              <w:rPr>
                <w:u w:val="none"/>
              </w:rPr>
            </w:pPr>
            <w:r w:rsidRPr="009141E6">
              <w:rPr>
                <w:u w:val="none"/>
              </w:rPr>
              <w:t xml:space="preserve">          </w:t>
            </w:r>
          </w:p>
          <w:p w:rsidR="00147A65" w:rsidRDefault="00147A65" w:rsidP="00E87BF5">
            <w:pPr>
              <w:pStyle w:val="DayTableSubHead"/>
              <w:rPr>
                <w:u w:val="none"/>
              </w:rPr>
            </w:pPr>
          </w:p>
          <w:p w:rsidR="00BE1CFA" w:rsidRDefault="00BE1CFA" w:rsidP="00E87BF5">
            <w:pPr>
              <w:pStyle w:val="DayTableSubHead"/>
              <w:rPr>
                <w:b w:val="0"/>
                <w:u w:val="none"/>
              </w:rPr>
            </w:pPr>
            <w:r w:rsidRPr="009141E6">
              <w:rPr>
                <w:u w:val="none"/>
              </w:rPr>
              <w:t xml:space="preserve"> </w:t>
            </w:r>
            <w:r w:rsidRPr="009141E6">
              <w:rPr>
                <w:u w:val="none"/>
              </w:rPr>
              <w:sym w:font="Wingdings" w:char="F0E0"/>
            </w:r>
            <w:r w:rsidR="00F8429B">
              <w:rPr>
                <w:b w:val="0"/>
                <w:u w:val="none"/>
              </w:rPr>
              <w:t xml:space="preserve">Review the 5 cognitive processes and answer </w:t>
            </w:r>
            <w:r w:rsidR="00E87BF5">
              <w:rPr>
                <w:b w:val="0"/>
                <w:u w:val="none"/>
              </w:rPr>
              <w:t xml:space="preserve">clarifying </w:t>
            </w:r>
            <w:r w:rsidR="00F8429B">
              <w:rPr>
                <w:b w:val="0"/>
                <w:u w:val="none"/>
              </w:rPr>
              <w:t>questions</w:t>
            </w:r>
            <w:r w:rsidR="00E87BF5">
              <w:rPr>
                <w:b w:val="0"/>
                <w:u w:val="none"/>
              </w:rPr>
              <w:t>.</w:t>
            </w:r>
          </w:p>
          <w:p w:rsidR="00E0275F" w:rsidRDefault="00E0275F" w:rsidP="00682926">
            <w:pPr>
              <w:pStyle w:val="DayTableTextwSpace"/>
              <w:rPr>
                <w:rFonts w:ascii="Arial" w:hAnsi="Arial"/>
              </w:rPr>
            </w:pPr>
          </w:p>
          <w:p w:rsidR="00BA7815" w:rsidRPr="00EE5937" w:rsidRDefault="00BA7815" w:rsidP="00682926">
            <w:pPr>
              <w:pStyle w:val="DayTableTextwSpace"/>
              <w:rPr>
                <w:rFonts w:ascii="Arial" w:hAnsi="Arial"/>
                <w:b/>
              </w:rPr>
            </w:pPr>
            <w:proofErr w:type="spellStart"/>
            <w:r w:rsidRPr="00EE5937">
              <w:rPr>
                <w:rFonts w:ascii="Arial" w:hAnsi="Arial"/>
                <w:b/>
              </w:rPr>
              <w:t>JigSaw</w:t>
            </w:r>
            <w:proofErr w:type="spellEnd"/>
            <w:r w:rsidRPr="00EE5937">
              <w:rPr>
                <w:rFonts w:ascii="Arial" w:hAnsi="Arial"/>
                <w:b/>
              </w:rPr>
              <w:t xml:space="preserve"> Activity</w:t>
            </w:r>
          </w:p>
          <w:p w:rsidR="00682926" w:rsidRDefault="00682926" w:rsidP="00682926">
            <w:pPr>
              <w:pStyle w:val="DayTableTextwSpace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Present the primary </w:t>
            </w:r>
            <w:r w:rsidR="001229E5">
              <w:rPr>
                <w:rFonts w:ascii="Arial" w:hAnsi="Arial"/>
              </w:rPr>
              <w:t xml:space="preserve">division </w:t>
            </w:r>
            <w:r>
              <w:rPr>
                <w:rFonts w:ascii="Arial" w:hAnsi="Arial"/>
              </w:rPr>
              <w:t>fraction lesson</w:t>
            </w:r>
            <w:r w:rsidR="003F4C7F">
              <w:rPr>
                <w:rFonts w:ascii="Arial" w:hAnsi="Arial"/>
              </w:rPr>
              <w:t xml:space="preserve">. </w:t>
            </w:r>
            <w:r w:rsidR="00BA7815">
              <w:rPr>
                <w:rFonts w:ascii="Arial" w:hAnsi="Arial"/>
              </w:rPr>
              <w:t>D</w:t>
            </w:r>
            <w:r w:rsidR="003F4C7F">
              <w:rPr>
                <w:rFonts w:ascii="Arial" w:hAnsi="Arial"/>
              </w:rPr>
              <w:t xml:space="preserve">iscuss the </w:t>
            </w:r>
            <w:r w:rsidR="006551BC">
              <w:rPr>
                <w:rFonts w:ascii="Arial" w:hAnsi="Arial"/>
              </w:rPr>
              <w:t xml:space="preserve">learning goals and the </w:t>
            </w:r>
            <w:r w:rsidR="003F4C7F">
              <w:rPr>
                <w:rFonts w:ascii="Arial" w:hAnsi="Arial"/>
              </w:rPr>
              <w:t>math content of the lesson a</w:t>
            </w:r>
            <w:r w:rsidR="001229E5">
              <w:rPr>
                <w:rFonts w:ascii="Arial" w:hAnsi="Arial"/>
              </w:rPr>
              <w:t xml:space="preserve">s well as what </w:t>
            </w:r>
            <w:r w:rsidR="003F4C7F">
              <w:rPr>
                <w:rFonts w:ascii="Arial" w:hAnsi="Arial"/>
              </w:rPr>
              <w:t>students</w:t>
            </w:r>
            <w:r w:rsidR="00E0275F">
              <w:rPr>
                <w:rFonts w:ascii="Arial" w:hAnsi="Arial"/>
              </w:rPr>
              <w:t xml:space="preserve"> might do</w:t>
            </w:r>
            <w:r w:rsidR="00BA7815">
              <w:rPr>
                <w:rFonts w:ascii="Arial" w:hAnsi="Arial"/>
              </w:rPr>
              <w:t>.</w:t>
            </w:r>
          </w:p>
          <w:p w:rsidR="00E0275F" w:rsidRDefault="00E0275F" w:rsidP="00E0275F">
            <w:pPr>
              <w:pStyle w:val="DayTableTextwSpace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Home Groups: 5 members each. </w:t>
            </w:r>
          </w:p>
          <w:p w:rsidR="00E87BF5" w:rsidRDefault="00682926" w:rsidP="003F4C7F">
            <w:pPr>
              <w:pStyle w:val="DayTableTextwSpace"/>
              <w:rPr>
                <w:rFonts w:ascii="Arial" w:hAnsi="Arial"/>
              </w:rPr>
            </w:pPr>
            <w:r>
              <w:rPr>
                <w:rFonts w:ascii="Arial" w:hAnsi="Arial"/>
              </w:rPr>
              <w:t>Each</w:t>
            </w:r>
            <w:r w:rsidR="001229E5">
              <w:rPr>
                <w:rFonts w:ascii="Arial" w:hAnsi="Arial"/>
              </w:rPr>
              <w:t xml:space="preserve"> home group</w:t>
            </w:r>
            <w:r>
              <w:rPr>
                <w:rFonts w:ascii="Arial" w:hAnsi="Arial"/>
              </w:rPr>
              <w:t xml:space="preserve"> member (blindly) selects 1 slip of </w:t>
            </w:r>
            <w:r w:rsidR="00FD57C7">
              <w:rPr>
                <w:rFonts w:ascii="Arial" w:hAnsi="Arial"/>
              </w:rPr>
              <w:t xml:space="preserve">colour coded </w:t>
            </w:r>
            <w:r>
              <w:rPr>
                <w:rFonts w:ascii="Arial" w:hAnsi="Arial"/>
              </w:rPr>
              <w:t>paper f</w:t>
            </w:r>
            <w:r w:rsidR="003F4C7F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 xml:space="preserve">om </w:t>
            </w:r>
            <w:r w:rsidR="001229E5">
              <w:rPr>
                <w:rFonts w:ascii="Arial" w:hAnsi="Arial"/>
              </w:rPr>
              <w:t xml:space="preserve">the </w:t>
            </w:r>
            <w:r w:rsidR="003F4C7F">
              <w:rPr>
                <w:rFonts w:ascii="Arial" w:hAnsi="Arial"/>
              </w:rPr>
              <w:t>set of</w:t>
            </w:r>
            <w:r w:rsidR="00E87BF5">
              <w:rPr>
                <w:rFonts w:ascii="Arial" w:hAnsi="Arial"/>
              </w:rPr>
              <w:t xml:space="preserve"> 5 cognitive processes.</w:t>
            </w:r>
            <w:r w:rsidR="006551BC">
              <w:rPr>
                <w:rFonts w:ascii="Arial" w:hAnsi="Arial"/>
              </w:rPr>
              <w:t xml:space="preserve"> </w:t>
            </w:r>
            <w:r w:rsidR="00FD57C7">
              <w:rPr>
                <w:rFonts w:ascii="Arial" w:hAnsi="Arial"/>
              </w:rPr>
              <w:t>Each member</w:t>
            </w:r>
            <w:r w:rsidR="006551BC">
              <w:rPr>
                <w:rFonts w:ascii="Arial" w:hAnsi="Arial"/>
              </w:rPr>
              <w:t xml:space="preserve"> will represent the selected process in the home group.</w:t>
            </w:r>
          </w:p>
          <w:p w:rsidR="00FD57C7" w:rsidRDefault="001229E5" w:rsidP="003F4C7F">
            <w:pPr>
              <w:pStyle w:val="DayTableTextwSpace"/>
              <w:rPr>
                <w:rFonts w:ascii="Arial" w:hAnsi="Arial"/>
              </w:rPr>
            </w:pPr>
            <w:r w:rsidRPr="00EE5937">
              <w:rPr>
                <w:rFonts w:ascii="Arial" w:hAnsi="Arial"/>
                <w:b/>
              </w:rPr>
              <w:t>Expert Group</w:t>
            </w:r>
            <w:r w:rsidR="00FD57C7" w:rsidRPr="00EE5937">
              <w:rPr>
                <w:rFonts w:ascii="Arial" w:hAnsi="Arial"/>
                <w:b/>
              </w:rPr>
              <w:t xml:space="preserve"> Activity</w:t>
            </w:r>
            <w:r w:rsidRPr="00EE5937">
              <w:rPr>
                <w:rFonts w:ascii="Arial" w:hAnsi="Arial"/>
                <w:b/>
              </w:rPr>
              <w:t>:</w:t>
            </w:r>
            <w:r>
              <w:rPr>
                <w:rFonts w:ascii="Arial" w:hAnsi="Arial"/>
              </w:rPr>
              <w:t xml:space="preserve"> Home group members split into expert groups </w:t>
            </w:r>
            <w:r w:rsidR="00BA7815">
              <w:rPr>
                <w:rFonts w:ascii="Arial" w:hAnsi="Arial"/>
              </w:rPr>
              <w:t xml:space="preserve">organized </w:t>
            </w:r>
            <w:r>
              <w:rPr>
                <w:rFonts w:ascii="Arial" w:hAnsi="Arial"/>
              </w:rPr>
              <w:t>by cognitive process</w:t>
            </w:r>
            <w:r w:rsidR="00BA7815">
              <w:rPr>
                <w:rFonts w:ascii="Arial" w:hAnsi="Arial"/>
              </w:rPr>
              <w:t xml:space="preserve">. Each expert group </w:t>
            </w:r>
            <w:r w:rsidR="00FD57C7">
              <w:rPr>
                <w:rFonts w:ascii="Arial" w:hAnsi="Arial"/>
              </w:rPr>
              <w:t xml:space="preserve">works to develop </w:t>
            </w:r>
            <w:r w:rsidR="00BA7815">
              <w:rPr>
                <w:rFonts w:ascii="Arial" w:hAnsi="Arial"/>
              </w:rPr>
              <w:t>recommend</w:t>
            </w:r>
            <w:r w:rsidR="00FD57C7">
              <w:rPr>
                <w:rFonts w:ascii="Arial" w:hAnsi="Arial"/>
              </w:rPr>
              <w:t>ed</w:t>
            </w:r>
            <w:r w:rsidR="00BA7815">
              <w:rPr>
                <w:rFonts w:ascii="Arial" w:hAnsi="Arial"/>
              </w:rPr>
              <w:t xml:space="preserve"> accommodations </w:t>
            </w:r>
            <w:r w:rsidR="00FD57C7">
              <w:rPr>
                <w:rFonts w:ascii="Arial" w:hAnsi="Arial"/>
              </w:rPr>
              <w:t>for</w:t>
            </w:r>
            <w:r w:rsidR="00BA7815">
              <w:rPr>
                <w:rFonts w:ascii="Arial" w:hAnsi="Arial"/>
              </w:rPr>
              <w:t xml:space="preserve"> the lesson through the lens of the cognitive process </w:t>
            </w:r>
            <w:r w:rsidR="00FD57C7">
              <w:rPr>
                <w:rFonts w:ascii="Arial" w:hAnsi="Arial"/>
              </w:rPr>
              <w:t xml:space="preserve">it </w:t>
            </w:r>
            <w:r w:rsidR="00BA7815">
              <w:rPr>
                <w:rFonts w:ascii="Arial" w:hAnsi="Arial"/>
              </w:rPr>
              <w:t>represent</w:t>
            </w:r>
            <w:r w:rsidR="00FD57C7">
              <w:rPr>
                <w:rFonts w:ascii="Arial" w:hAnsi="Arial"/>
              </w:rPr>
              <w:t>s</w:t>
            </w:r>
            <w:r w:rsidR="00BA7815">
              <w:rPr>
                <w:rFonts w:ascii="Arial" w:hAnsi="Arial"/>
              </w:rPr>
              <w:t>.</w:t>
            </w:r>
          </w:p>
          <w:p w:rsidR="00BA7815" w:rsidRDefault="00BA7815" w:rsidP="003F4C7F">
            <w:pPr>
              <w:pStyle w:val="DayTableTextwSpace"/>
              <w:rPr>
                <w:rFonts w:ascii="Arial" w:hAnsi="Arial"/>
              </w:rPr>
            </w:pPr>
            <w:r w:rsidRPr="00EE5937">
              <w:rPr>
                <w:rFonts w:ascii="Arial" w:hAnsi="Arial"/>
                <w:b/>
              </w:rPr>
              <w:t>Home Group</w:t>
            </w:r>
            <w:r w:rsidR="00FD57C7" w:rsidRPr="00EE5937">
              <w:rPr>
                <w:rFonts w:ascii="Arial" w:hAnsi="Arial"/>
                <w:b/>
              </w:rPr>
              <w:t xml:space="preserve"> Activity</w:t>
            </w:r>
            <w:r>
              <w:rPr>
                <w:rFonts w:ascii="Arial" w:hAnsi="Arial"/>
              </w:rPr>
              <w:t>:</w:t>
            </w:r>
          </w:p>
          <w:p w:rsidR="00BA7815" w:rsidRDefault="00BA7815" w:rsidP="003F4C7F">
            <w:pPr>
              <w:pStyle w:val="DayTableTextwSpace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Each member presents </w:t>
            </w:r>
            <w:r w:rsidR="00FD57C7">
              <w:rPr>
                <w:rFonts w:ascii="Arial" w:hAnsi="Arial"/>
              </w:rPr>
              <w:t>the recommended accommodations of their expert for the lesson. Other members use coloured dots to record accommodations.</w:t>
            </w:r>
          </w:p>
          <w:p w:rsidR="00147A65" w:rsidRDefault="00147A65" w:rsidP="003F4C7F">
            <w:pPr>
              <w:pStyle w:val="DayTableTextwSpace"/>
              <w:rPr>
                <w:rFonts w:ascii="Arial" w:hAnsi="Arial"/>
              </w:rPr>
            </w:pPr>
          </w:p>
          <w:p w:rsidR="00EE5937" w:rsidRDefault="00EE5937" w:rsidP="00EE5937">
            <w:pPr>
              <w:pStyle w:val="DayTableTextwSpace"/>
              <w:rPr>
                <w:rFonts w:ascii="Arial" w:hAnsi="Arial"/>
              </w:rPr>
            </w:pPr>
            <w:r w:rsidRPr="00EE5937">
              <w:rPr>
                <w:rFonts w:ascii="Arial" w:hAnsi="Arial"/>
                <w:b/>
              </w:rPr>
              <w:t>Large Group Report</w:t>
            </w:r>
            <w:r>
              <w:rPr>
                <w:rFonts w:ascii="Arial" w:hAnsi="Arial"/>
              </w:rPr>
              <w:t xml:space="preserve">: </w:t>
            </w:r>
          </w:p>
          <w:p w:rsidR="00EE5937" w:rsidRDefault="00EE5937" w:rsidP="00EE5937">
            <w:pPr>
              <w:pStyle w:val="DayTableTextwSpace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What </w:t>
            </w:r>
            <w:proofErr w:type="spellStart"/>
            <w:r>
              <w:rPr>
                <w:rFonts w:ascii="Arial" w:hAnsi="Arial"/>
              </w:rPr>
              <w:t>aha’s</w:t>
            </w:r>
            <w:proofErr w:type="spellEnd"/>
            <w:r>
              <w:rPr>
                <w:rFonts w:ascii="Arial" w:hAnsi="Arial"/>
              </w:rPr>
              <w:t xml:space="preserve"> did you have as you engaged in this activity? Where were there overlaps in recommended accommodations? </w:t>
            </w:r>
          </w:p>
          <w:p w:rsidR="006551BC" w:rsidRPr="00E87BF5" w:rsidRDefault="00EE5937" w:rsidP="00E0275F">
            <w:pPr>
              <w:pStyle w:val="DayTableTextwSpace"/>
              <w:rPr>
                <w:rFonts w:ascii="Arial" w:hAnsi="Arial"/>
              </w:rPr>
            </w:pPr>
            <w:r>
              <w:rPr>
                <w:rFonts w:ascii="Arial" w:hAnsi="Arial"/>
              </w:rPr>
              <w:t>Primary students don’t usually have IEP’s. How can this understanding of cognitive processes be useful in teaching primary grades?</w:t>
            </w:r>
          </w:p>
        </w:tc>
        <w:tc>
          <w:tcPr>
            <w:tcW w:w="192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E1CFA" w:rsidRDefault="00BA7815" w:rsidP="00BE1CFA">
            <w:r>
              <w:t xml:space="preserve">2 </w:t>
            </w:r>
            <w:r w:rsidR="00FD57C7">
              <w:t>exemplary</w:t>
            </w:r>
            <w:r w:rsidR="00E87BF5">
              <w:t xml:space="preserve"> primary </w:t>
            </w:r>
            <w:r w:rsidR="00FD57C7">
              <w:t xml:space="preserve">division </w:t>
            </w:r>
            <w:r w:rsidR="00E87BF5">
              <w:t>lesson</w:t>
            </w:r>
            <w:r w:rsidR="00FD57C7">
              <w:t>s</w:t>
            </w:r>
            <w:r w:rsidR="00E87BF5">
              <w:t xml:space="preserve"> </w:t>
            </w:r>
            <w:r w:rsidR="00FD57C7">
              <w:t>re</w:t>
            </w:r>
            <w:r w:rsidR="00E87BF5">
              <w:t xml:space="preserve"> fraction</w:t>
            </w:r>
            <w:r w:rsidR="00FD57C7">
              <w:t xml:space="preserve"> concepts</w:t>
            </w:r>
            <w:r w:rsidR="00E87BF5">
              <w:t xml:space="preserve"> </w:t>
            </w:r>
          </w:p>
          <w:p w:rsidR="00BA7815" w:rsidRDefault="00BA7815" w:rsidP="00682926"/>
          <w:p w:rsidR="00FD57C7" w:rsidRDefault="00BA7815" w:rsidP="00682926">
            <w:r>
              <w:t>Strips of coloured dots (5 colours)</w:t>
            </w:r>
          </w:p>
          <w:p w:rsidR="00BA7815" w:rsidRDefault="00FD57C7" w:rsidP="00682926">
            <w:r>
              <w:t>(1 per camper)</w:t>
            </w:r>
          </w:p>
          <w:p w:rsidR="00BA7815" w:rsidRDefault="00BA7815" w:rsidP="00682926"/>
          <w:p w:rsidR="00E87BF5" w:rsidRDefault="00682926" w:rsidP="00682926">
            <w:r>
              <w:t>For each home group – a s</w:t>
            </w:r>
            <w:r w:rsidR="00E87BF5">
              <w:t xml:space="preserve">et </w:t>
            </w:r>
            <w:r>
              <w:t>of</w:t>
            </w:r>
            <w:r w:rsidR="00E87BF5">
              <w:t xml:space="preserve"> 5 </w:t>
            </w:r>
            <w:r w:rsidR="00BA7815">
              <w:t xml:space="preserve">colour coded </w:t>
            </w:r>
            <w:r>
              <w:t xml:space="preserve">pieces of paper each </w:t>
            </w:r>
            <w:r w:rsidR="00FD57C7">
              <w:t>with</w:t>
            </w:r>
            <w:r>
              <w:t xml:space="preserve"> the </w:t>
            </w:r>
            <w:r w:rsidR="00E87BF5">
              <w:t xml:space="preserve">name of </w:t>
            </w:r>
            <w:r>
              <w:t xml:space="preserve">one of the 5 </w:t>
            </w:r>
            <w:r w:rsidR="00E87BF5">
              <w:t>cognitive processes</w:t>
            </w:r>
            <w:r>
              <w:t xml:space="preserve"> </w:t>
            </w:r>
          </w:p>
          <w:p w:rsidR="00BA7815" w:rsidRDefault="00BA7815" w:rsidP="00682926"/>
          <w:p w:rsidR="00BA7815" w:rsidRDefault="00BA7815" w:rsidP="00682926"/>
        </w:tc>
      </w:tr>
      <w:tr w:rsidR="00BE1CFA" w:rsidTr="001229E5">
        <w:trPr>
          <w:trHeight w:val="1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BE1CFA" w:rsidRPr="00FE7C57" w:rsidRDefault="00BE1CFA" w:rsidP="00BE1CFA">
            <w:pPr>
              <w:pStyle w:val="Action"/>
              <w:rPr>
                <w:szCs w:val="20"/>
              </w:rPr>
            </w:pPr>
            <w:r w:rsidRPr="00FE7C57">
              <w:rPr>
                <w:szCs w:val="20"/>
              </w:rPr>
              <w:t>Action!</w:t>
            </w: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CFA" w:rsidRDefault="00BE1CFA" w:rsidP="00BE1CFA">
            <w:pPr>
              <w:pStyle w:val="DayTableSubHead"/>
            </w:pPr>
          </w:p>
        </w:tc>
        <w:tc>
          <w:tcPr>
            <w:tcW w:w="1920" w:type="dxa"/>
            <w:vMerge/>
            <w:tcBorders>
              <w:left w:val="single" w:sz="4" w:space="0" w:color="auto"/>
            </w:tcBorders>
          </w:tcPr>
          <w:p w:rsidR="00BE1CFA" w:rsidRDefault="00BE1CFA" w:rsidP="00BE1CFA"/>
        </w:tc>
      </w:tr>
      <w:tr w:rsidR="00BE1CFA" w:rsidRPr="00EE5937" w:rsidTr="001229E5">
        <w:trPr>
          <w:trHeight w:val="2414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BE1CFA" w:rsidRDefault="00147A65" w:rsidP="00BE1CFA">
            <w:pPr>
              <w:pStyle w:val="SideBarText"/>
              <w:rPr>
                <w:rFonts w:ascii="Times New Roman" w:hAnsi="Times New Roman"/>
                <w:sz w:val="20"/>
              </w:rPr>
            </w:pPr>
            <w:r w:rsidRPr="00147A65">
              <w:rPr>
                <w:rFonts w:ascii="Times New Roman" w:hAnsi="Times New Roman"/>
                <w:sz w:val="20"/>
              </w:rPr>
              <w:t>10 min</w:t>
            </w:r>
          </w:p>
          <w:p w:rsidR="00147A65" w:rsidRDefault="00147A65" w:rsidP="00BE1CFA">
            <w:pPr>
              <w:pStyle w:val="SideBarText"/>
              <w:rPr>
                <w:rFonts w:ascii="Times New Roman" w:hAnsi="Times New Roman"/>
                <w:sz w:val="20"/>
              </w:rPr>
            </w:pPr>
          </w:p>
          <w:p w:rsidR="00147A65" w:rsidRPr="00EE5937" w:rsidRDefault="00147A65" w:rsidP="00BE1CFA">
            <w:pPr>
              <w:pStyle w:val="SideBarText"/>
              <w:rPr>
                <w:rFonts w:ascii="Times New Roman" w:hAnsi="Times New Roman"/>
                <w:sz w:val="20"/>
                <w:lang w:val="fr-CA"/>
              </w:rPr>
            </w:pPr>
            <w:r w:rsidRPr="00EE5937">
              <w:rPr>
                <w:rFonts w:ascii="Times New Roman" w:hAnsi="Times New Roman"/>
                <w:sz w:val="20"/>
                <w:lang w:val="fr-CA"/>
              </w:rPr>
              <w:t>1</w:t>
            </w:r>
            <w:r w:rsidR="00EE5937" w:rsidRPr="00EE5937">
              <w:rPr>
                <w:rFonts w:ascii="Times New Roman" w:hAnsi="Times New Roman"/>
                <w:sz w:val="20"/>
                <w:lang w:val="fr-CA"/>
              </w:rPr>
              <w:t>5</w:t>
            </w:r>
            <w:r w:rsidRPr="00EE5937">
              <w:rPr>
                <w:rFonts w:ascii="Times New Roman" w:hAnsi="Times New Roman"/>
                <w:sz w:val="20"/>
                <w:lang w:val="fr-CA"/>
              </w:rPr>
              <w:t xml:space="preserve"> min</w:t>
            </w:r>
          </w:p>
          <w:p w:rsidR="00147A65" w:rsidRPr="00EE5937" w:rsidRDefault="00147A65" w:rsidP="00BE1CFA">
            <w:pPr>
              <w:pStyle w:val="SideBarText"/>
              <w:rPr>
                <w:rFonts w:ascii="Times New Roman" w:hAnsi="Times New Roman"/>
                <w:sz w:val="20"/>
                <w:lang w:val="fr-CA"/>
              </w:rPr>
            </w:pPr>
          </w:p>
          <w:p w:rsidR="00147A65" w:rsidRPr="00EE5937" w:rsidRDefault="00147A65" w:rsidP="00BE1CFA">
            <w:pPr>
              <w:pStyle w:val="SideBarText"/>
              <w:rPr>
                <w:rFonts w:ascii="Times New Roman" w:hAnsi="Times New Roman"/>
                <w:sz w:val="20"/>
                <w:lang w:val="fr-CA"/>
              </w:rPr>
            </w:pPr>
          </w:p>
          <w:p w:rsidR="00147A65" w:rsidRPr="00EE5937" w:rsidRDefault="00147A65" w:rsidP="00BE1CFA">
            <w:pPr>
              <w:pStyle w:val="SideBarText"/>
              <w:rPr>
                <w:rFonts w:ascii="Times New Roman" w:hAnsi="Times New Roman"/>
                <w:sz w:val="20"/>
                <w:lang w:val="fr-CA"/>
              </w:rPr>
            </w:pPr>
          </w:p>
          <w:p w:rsidR="00147A65" w:rsidRPr="00EE5937" w:rsidRDefault="00147A65" w:rsidP="00BE1CFA">
            <w:pPr>
              <w:pStyle w:val="SideBarText"/>
              <w:rPr>
                <w:rFonts w:ascii="Times New Roman" w:hAnsi="Times New Roman"/>
                <w:sz w:val="20"/>
                <w:lang w:val="fr-CA"/>
              </w:rPr>
            </w:pPr>
          </w:p>
          <w:p w:rsidR="00EE5937" w:rsidRPr="00EE5937" w:rsidRDefault="00EE5937" w:rsidP="00BE1CFA">
            <w:pPr>
              <w:pStyle w:val="SideBarText"/>
              <w:rPr>
                <w:rFonts w:ascii="Times New Roman" w:hAnsi="Times New Roman"/>
                <w:sz w:val="20"/>
                <w:lang w:val="fr-CA"/>
              </w:rPr>
            </w:pPr>
          </w:p>
          <w:p w:rsidR="00EE5937" w:rsidRPr="00EE5937" w:rsidRDefault="00EE5937" w:rsidP="00BE1CFA">
            <w:pPr>
              <w:pStyle w:val="SideBarText"/>
              <w:rPr>
                <w:rFonts w:ascii="Times New Roman" w:hAnsi="Times New Roman"/>
                <w:sz w:val="20"/>
                <w:lang w:val="fr-CA"/>
              </w:rPr>
            </w:pPr>
          </w:p>
          <w:p w:rsidR="00147A65" w:rsidRPr="00EE5937" w:rsidRDefault="00147A65" w:rsidP="00BE1CFA">
            <w:pPr>
              <w:pStyle w:val="SideBarText"/>
              <w:rPr>
                <w:rFonts w:ascii="Times New Roman" w:hAnsi="Times New Roman"/>
                <w:sz w:val="20"/>
                <w:lang w:val="fr-CA"/>
              </w:rPr>
            </w:pPr>
          </w:p>
          <w:p w:rsidR="00147A65" w:rsidRPr="00EE5937" w:rsidRDefault="00EE5937" w:rsidP="00BE1CFA">
            <w:pPr>
              <w:pStyle w:val="SideBarText"/>
              <w:rPr>
                <w:rFonts w:ascii="Times New Roman" w:hAnsi="Times New Roman"/>
                <w:sz w:val="20"/>
                <w:lang w:val="fr-CA"/>
              </w:rPr>
            </w:pPr>
            <w:r w:rsidRPr="00EE5937">
              <w:rPr>
                <w:rFonts w:ascii="Times New Roman" w:hAnsi="Times New Roman"/>
                <w:sz w:val="20"/>
                <w:lang w:val="fr-CA"/>
              </w:rPr>
              <w:t>25</w:t>
            </w:r>
            <w:r w:rsidR="00147A65" w:rsidRPr="00EE5937">
              <w:rPr>
                <w:rFonts w:ascii="Times New Roman" w:hAnsi="Times New Roman"/>
                <w:sz w:val="20"/>
                <w:lang w:val="fr-CA"/>
              </w:rPr>
              <w:t xml:space="preserve"> min</w:t>
            </w:r>
          </w:p>
          <w:p w:rsidR="00147A65" w:rsidRPr="00EE5937" w:rsidRDefault="00147A65" w:rsidP="00BE1CFA">
            <w:pPr>
              <w:pStyle w:val="SideBarText"/>
              <w:rPr>
                <w:rFonts w:ascii="Times New Roman" w:hAnsi="Times New Roman"/>
                <w:sz w:val="20"/>
                <w:lang w:val="fr-CA"/>
              </w:rPr>
            </w:pPr>
          </w:p>
          <w:p w:rsidR="00147A65" w:rsidRPr="00EE5937" w:rsidRDefault="00147A65" w:rsidP="00BE1CFA">
            <w:pPr>
              <w:pStyle w:val="SideBarText"/>
              <w:rPr>
                <w:rFonts w:ascii="Times New Roman" w:hAnsi="Times New Roman"/>
                <w:sz w:val="20"/>
                <w:lang w:val="fr-CA"/>
              </w:rPr>
            </w:pPr>
          </w:p>
          <w:p w:rsidR="00147A65" w:rsidRPr="00EE5937" w:rsidRDefault="00147A65" w:rsidP="00BE1CFA">
            <w:pPr>
              <w:pStyle w:val="SideBarText"/>
              <w:rPr>
                <w:rFonts w:ascii="Times New Roman" w:hAnsi="Times New Roman"/>
                <w:sz w:val="20"/>
                <w:lang w:val="fr-CA"/>
              </w:rPr>
            </w:pPr>
          </w:p>
          <w:p w:rsidR="00147A65" w:rsidRPr="00EE5937" w:rsidRDefault="00147A65" w:rsidP="00BE1CFA">
            <w:pPr>
              <w:pStyle w:val="SideBarText"/>
              <w:rPr>
                <w:rFonts w:ascii="Times New Roman" w:hAnsi="Times New Roman"/>
                <w:sz w:val="20"/>
                <w:lang w:val="fr-CA"/>
              </w:rPr>
            </w:pPr>
          </w:p>
          <w:p w:rsidR="00147A65" w:rsidRPr="00EE5937" w:rsidRDefault="00147A65" w:rsidP="00BE1CFA">
            <w:pPr>
              <w:pStyle w:val="SideBarText"/>
              <w:rPr>
                <w:rFonts w:ascii="Times New Roman" w:hAnsi="Times New Roman"/>
                <w:sz w:val="20"/>
                <w:lang w:val="fr-CA"/>
              </w:rPr>
            </w:pPr>
            <w:r w:rsidRPr="00EE5937">
              <w:rPr>
                <w:rFonts w:ascii="Times New Roman" w:hAnsi="Times New Roman"/>
                <w:sz w:val="20"/>
                <w:lang w:val="fr-CA"/>
              </w:rPr>
              <w:t>30 min</w:t>
            </w:r>
          </w:p>
          <w:p w:rsidR="00147A65" w:rsidRPr="00EE5937" w:rsidRDefault="00147A65" w:rsidP="00BE1CFA">
            <w:pPr>
              <w:pStyle w:val="SideBarText"/>
              <w:rPr>
                <w:rFonts w:ascii="Times New Roman" w:hAnsi="Times New Roman"/>
                <w:sz w:val="20"/>
                <w:lang w:val="fr-CA"/>
              </w:rPr>
            </w:pPr>
          </w:p>
          <w:p w:rsidR="00147A65" w:rsidRPr="00EE5937" w:rsidRDefault="00147A65" w:rsidP="00BE1CFA">
            <w:pPr>
              <w:pStyle w:val="SideBarText"/>
              <w:rPr>
                <w:rFonts w:ascii="Times New Roman" w:hAnsi="Times New Roman"/>
                <w:sz w:val="20"/>
                <w:lang w:val="fr-CA"/>
              </w:rPr>
            </w:pPr>
          </w:p>
          <w:p w:rsidR="00147A65" w:rsidRPr="00EE5937" w:rsidRDefault="00147A65" w:rsidP="00BE1CFA">
            <w:pPr>
              <w:pStyle w:val="SideBarText"/>
              <w:rPr>
                <w:rFonts w:ascii="Times New Roman" w:hAnsi="Times New Roman"/>
                <w:sz w:val="20"/>
                <w:lang w:val="fr-CA"/>
              </w:rPr>
            </w:pPr>
          </w:p>
          <w:p w:rsidR="00147A65" w:rsidRPr="00EE5937" w:rsidRDefault="00147A65" w:rsidP="00BE1CFA">
            <w:pPr>
              <w:pStyle w:val="SideBarText"/>
              <w:rPr>
                <w:rFonts w:ascii="Times New Roman" w:hAnsi="Times New Roman"/>
                <w:sz w:val="20"/>
                <w:szCs w:val="20"/>
                <w:lang w:val="fr-CA"/>
              </w:rPr>
            </w:pPr>
            <w:r w:rsidRPr="00EE5937">
              <w:rPr>
                <w:rFonts w:ascii="Times New Roman" w:hAnsi="Times New Roman"/>
                <w:sz w:val="20"/>
                <w:szCs w:val="20"/>
                <w:lang w:val="fr-CA"/>
              </w:rPr>
              <w:t>15 min</w:t>
            </w: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CFA" w:rsidRPr="00EE5937" w:rsidRDefault="00BE1CFA" w:rsidP="00BE1CFA">
            <w:pPr>
              <w:pStyle w:val="DayTableSubHead"/>
              <w:rPr>
                <w:lang w:val="fr-CA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</w:tcBorders>
          </w:tcPr>
          <w:p w:rsidR="00BE1CFA" w:rsidRPr="00EE5937" w:rsidRDefault="00BE1CFA" w:rsidP="00BE1CFA">
            <w:pPr>
              <w:rPr>
                <w:lang w:val="fr-CA"/>
              </w:rPr>
            </w:pPr>
          </w:p>
        </w:tc>
      </w:tr>
      <w:tr w:rsidR="00BE1CFA" w:rsidTr="001229E5">
        <w:trPr>
          <w:trHeight w:val="50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0000FF"/>
          </w:tcPr>
          <w:p w:rsidR="00BE1CFA" w:rsidRPr="00EE5937" w:rsidRDefault="00BE1CFA" w:rsidP="00BE1CFA">
            <w:pPr>
              <w:pStyle w:val="ConsolidateDebrief"/>
              <w:spacing w:before="0"/>
              <w:rPr>
                <w:lang w:val="fr-CA"/>
              </w:rPr>
            </w:pPr>
          </w:p>
        </w:tc>
        <w:tc>
          <w:tcPr>
            <w:tcW w:w="7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937" w:rsidRDefault="00BE1CFA" w:rsidP="00BE1CFA">
            <w:pPr>
              <w:pStyle w:val="DayTableSubHead"/>
              <w:rPr>
                <w:u w:val="none"/>
              </w:rPr>
            </w:pPr>
            <w:r w:rsidRPr="00EE5937">
              <w:rPr>
                <w:u w:val="none"/>
                <w:lang w:val="fr-CA"/>
              </w:rPr>
              <w:t xml:space="preserve">           </w:t>
            </w:r>
            <w:r w:rsidRPr="009141E6">
              <w:rPr>
                <w:u w:val="none"/>
              </w:rPr>
              <w:sym w:font="Wingdings" w:char="F0E0"/>
            </w:r>
          </w:p>
          <w:p w:rsidR="00EE5937" w:rsidRDefault="00EE5937" w:rsidP="00EE5937">
            <w:pPr>
              <w:pStyle w:val="DayTableTextwSpace"/>
              <w:rPr>
                <w:rFonts w:ascii="Arial" w:hAnsi="Arial"/>
              </w:rPr>
            </w:pPr>
            <w:r w:rsidRPr="00EE5937">
              <w:rPr>
                <w:rFonts w:ascii="Arial" w:hAnsi="Arial"/>
                <w:b/>
              </w:rPr>
              <w:t>Pairs Activity: (</w:t>
            </w:r>
            <w:r>
              <w:rPr>
                <w:rFonts w:ascii="Arial" w:hAnsi="Arial"/>
              </w:rPr>
              <w:t>2</w:t>
            </w:r>
            <w:r w:rsidRPr="00EE5937">
              <w:rPr>
                <w:rFonts w:ascii="Arial" w:hAnsi="Arial"/>
                <w:vertAlign w:val="superscript"/>
              </w:rPr>
              <w:t>nd</w:t>
            </w:r>
            <w:r>
              <w:rPr>
                <w:rFonts w:ascii="Arial" w:hAnsi="Arial"/>
              </w:rPr>
              <w:t xml:space="preserve"> exemplary lesson)</w:t>
            </w:r>
          </w:p>
          <w:p w:rsidR="00BE1CFA" w:rsidRDefault="00EE5937" w:rsidP="00EE5937">
            <w:pPr>
              <w:pStyle w:val="DayTableSubHead"/>
              <w:rPr>
                <w:b w:val="0"/>
                <w:u w:val="none"/>
              </w:rPr>
            </w:pPr>
            <w:r w:rsidRPr="00EE5937">
              <w:rPr>
                <w:b w:val="0"/>
                <w:u w:val="none"/>
              </w:rPr>
              <w:t>Work with a partner to recommend accommodations to a second exemplary lesson based on all 5 cognitive processes. Use coloured dots to record where accommodations can be used and what they might be.</w:t>
            </w:r>
          </w:p>
          <w:p w:rsidR="00EE5937" w:rsidRPr="00EE5937" w:rsidRDefault="00EE5937" w:rsidP="00EE5937">
            <w:pPr>
              <w:pStyle w:val="DayTableSubHead"/>
              <w:rPr>
                <w:b w:val="0"/>
                <w:u w:val="none"/>
              </w:rPr>
            </w:pPr>
          </w:p>
          <w:p w:rsidR="00BE1CFA" w:rsidRPr="00FA3D19" w:rsidRDefault="00BE1CFA" w:rsidP="00FA3D19">
            <w:pPr>
              <w:pStyle w:val="DayTableSubHead"/>
              <w:rPr>
                <w:b w:val="0"/>
                <w:u w:val="none"/>
              </w:rPr>
            </w:pPr>
            <w:r w:rsidRPr="00EE5937">
              <w:rPr>
                <w:u w:val="none"/>
              </w:rPr>
              <w:t xml:space="preserve"> </w:t>
            </w:r>
            <w:r w:rsidR="00FD57C7" w:rsidRPr="00EE5937">
              <w:rPr>
                <w:u w:val="none"/>
              </w:rPr>
              <w:t xml:space="preserve">Reflection: </w:t>
            </w:r>
            <w:r w:rsidR="00FD57C7">
              <w:rPr>
                <w:b w:val="0"/>
                <w:u w:val="none"/>
              </w:rPr>
              <w:t xml:space="preserve"> </w:t>
            </w:r>
            <w:r w:rsidR="00FA3D19">
              <w:rPr>
                <w:b w:val="0"/>
                <w:u w:val="none"/>
              </w:rPr>
              <w:t>For your journal/treasure chest, d</w:t>
            </w:r>
            <w:r w:rsidR="00FD57C7">
              <w:rPr>
                <w:b w:val="0"/>
                <w:u w:val="none"/>
              </w:rPr>
              <w:t>escribe three distinct ways you will use the u</w:t>
            </w:r>
            <w:r w:rsidR="00FA3D19">
              <w:rPr>
                <w:b w:val="0"/>
                <w:u w:val="none"/>
              </w:rPr>
              <w:t>nderstandings from these plenary/</w:t>
            </w:r>
            <w:r w:rsidR="00FD57C7">
              <w:rPr>
                <w:b w:val="0"/>
                <w:u w:val="none"/>
              </w:rPr>
              <w:t xml:space="preserve">breakout </w:t>
            </w:r>
            <w:r w:rsidR="00FA3D19">
              <w:rPr>
                <w:b w:val="0"/>
                <w:u w:val="none"/>
              </w:rPr>
              <w:t xml:space="preserve">sessions </w:t>
            </w:r>
            <w:r w:rsidR="00FD57C7">
              <w:rPr>
                <w:b w:val="0"/>
                <w:u w:val="none"/>
              </w:rPr>
              <w:t>in your teaching.</w:t>
            </w:r>
          </w:p>
        </w:tc>
        <w:tc>
          <w:tcPr>
            <w:tcW w:w="192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E1CFA" w:rsidRDefault="00BE1CFA" w:rsidP="00BE1CFA"/>
        </w:tc>
      </w:tr>
      <w:tr w:rsidR="00BE1CFA" w:rsidTr="001229E5">
        <w:trPr>
          <w:trHeight w:val="2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BE1CFA" w:rsidRPr="00FE7C57" w:rsidRDefault="00BE1CFA" w:rsidP="00BE1CFA">
            <w:pPr>
              <w:pStyle w:val="ConsolidateDebrief"/>
              <w:spacing w:before="0"/>
              <w:jc w:val="left"/>
              <w:rPr>
                <w:szCs w:val="20"/>
              </w:rPr>
            </w:pPr>
            <w:r w:rsidRPr="00FE7C57">
              <w:rPr>
                <w:szCs w:val="20"/>
              </w:rPr>
              <w:t>Consolidate Debrief</w:t>
            </w: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CFA" w:rsidRDefault="00BE1CFA" w:rsidP="00BE1CFA">
            <w:pPr>
              <w:pStyle w:val="DayTableSubHead"/>
            </w:pPr>
          </w:p>
        </w:tc>
        <w:tc>
          <w:tcPr>
            <w:tcW w:w="1920" w:type="dxa"/>
            <w:vMerge/>
            <w:tcBorders>
              <w:left w:val="single" w:sz="4" w:space="0" w:color="auto"/>
            </w:tcBorders>
          </w:tcPr>
          <w:p w:rsidR="00BE1CFA" w:rsidRDefault="00BE1CFA" w:rsidP="00BE1CFA"/>
        </w:tc>
      </w:tr>
      <w:tr w:rsidR="00BE1CFA" w:rsidTr="00FD57C7">
        <w:trPr>
          <w:trHeight w:val="124"/>
          <w:jc w:val="center"/>
        </w:trPr>
        <w:tc>
          <w:tcPr>
            <w:tcW w:w="12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CFA" w:rsidRDefault="00147A65" w:rsidP="00BE1CFA">
            <w:pPr>
              <w:pStyle w:val="SideBarText"/>
              <w:rPr>
                <w:rFonts w:ascii="Times New Roman" w:hAnsi="Times New Roman"/>
                <w:sz w:val="20"/>
              </w:rPr>
            </w:pPr>
            <w:r w:rsidRPr="00147A65">
              <w:rPr>
                <w:rFonts w:ascii="Times New Roman" w:hAnsi="Times New Roman"/>
                <w:sz w:val="20"/>
              </w:rPr>
              <w:t>1</w:t>
            </w:r>
            <w:r w:rsidR="00EE5937">
              <w:rPr>
                <w:rFonts w:ascii="Times New Roman" w:hAnsi="Times New Roman"/>
                <w:sz w:val="20"/>
              </w:rPr>
              <w:t>5</w:t>
            </w:r>
            <w:r w:rsidRPr="00147A65">
              <w:rPr>
                <w:rFonts w:ascii="Times New Roman" w:hAnsi="Times New Roman"/>
                <w:sz w:val="20"/>
              </w:rPr>
              <w:t xml:space="preserve"> min</w:t>
            </w:r>
          </w:p>
          <w:p w:rsidR="00EE5937" w:rsidRDefault="00EE5937" w:rsidP="00BE1CFA">
            <w:pPr>
              <w:pStyle w:val="SideBarText"/>
              <w:rPr>
                <w:rFonts w:ascii="Times New Roman" w:hAnsi="Times New Roman"/>
                <w:sz w:val="20"/>
              </w:rPr>
            </w:pPr>
          </w:p>
          <w:p w:rsidR="00EE5937" w:rsidRDefault="00EE5937" w:rsidP="00BE1CFA">
            <w:pPr>
              <w:pStyle w:val="SideBarText"/>
              <w:rPr>
                <w:rFonts w:ascii="Times New Roman" w:hAnsi="Times New Roman"/>
                <w:sz w:val="20"/>
              </w:rPr>
            </w:pPr>
          </w:p>
          <w:p w:rsidR="00EE5937" w:rsidRPr="00147A65" w:rsidRDefault="00EE5937" w:rsidP="00EE5937">
            <w:pPr>
              <w:pStyle w:val="SideBarText"/>
              <w:rPr>
                <w:rFonts w:ascii="Times New Roman" w:hAnsi="Times New Roman"/>
              </w:rPr>
            </w:pPr>
            <w:r w:rsidRPr="00147A65"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0</w:t>
            </w:r>
            <w:r w:rsidRPr="00147A65">
              <w:rPr>
                <w:rFonts w:ascii="Times New Roman" w:hAnsi="Times New Roman"/>
                <w:sz w:val="20"/>
              </w:rPr>
              <w:t xml:space="preserve"> min</w:t>
            </w: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CFA" w:rsidRDefault="00BE1CFA" w:rsidP="00BE1CFA">
            <w:pPr>
              <w:pStyle w:val="DayTableSubHead"/>
            </w:pPr>
          </w:p>
        </w:tc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E1CFA" w:rsidRDefault="00BE1CFA" w:rsidP="00BE1CFA"/>
        </w:tc>
      </w:tr>
      <w:tr w:rsidR="00BE1CFA" w:rsidTr="00EE5937">
        <w:trPr>
          <w:trHeight w:val="1123"/>
          <w:jc w:val="center"/>
        </w:trPr>
        <w:tc>
          <w:tcPr>
            <w:tcW w:w="127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E1CFA" w:rsidRDefault="00BE1CFA" w:rsidP="00BE1CFA">
            <w:pPr>
              <w:pStyle w:val="HomeActivitySideText"/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CFA" w:rsidRPr="00E42FA1" w:rsidRDefault="00BE1CFA" w:rsidP="00BE1CFA">
            <w:pPr>
              <w:pStyle w:val="HomeActivity"/>
              <w:rPr>
                <w:u w:val="none"/>
              </w:rPr>
            </w:pPr>
            <w:r w:rsidRPr="00E42FA1">
              <w:rPr>
                <w:u w:val="none"/>
              </w:rPr>
              <w:t>Home Activity or Further Classroom Consolidation</w:t>
            </w:r>
          </w:p>
          <w:p w:rsidR="00BE1CFA" w:rsidRDefault="00BE1CFA" w:rsidP="00BE1CFA">
            <w:pPr>
              <w:pStyle w:val="DayTableSubHead"/>
            </w:pPr>
          </w:p>
          <w:p w:rsidR="00EE5937" w:rsidRDefault="00EE5937" w:rsidP="00BE1CFA">
            <w:pPr>
              <w:pStyle w:val="DayTableSubHead"/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</w:tcPr>
          <w:p w:rsidR="00BE1CFA" w:rsidRDefault="00BE1CFA" w:rsidP="00BE1CFA"/>
        </w:tc>
      </w:tr>
    </w:tbl>
    <w:p w:rsidR="00A16C14" w:rsidRPr="00147A65" w:rsidRDefault="00A16C14" w:rsidP="00147A65">
      <w:pPr>
        <w:pStyle w:val="BLMText"/>
      </w:pPr>
    </w:p>
    <w:sectPr w:rsidR="00A16C14" w:rsidRPr="00147A65" w:rsidSect="00EE5937">
      <w:pgSz w:w="12240" w:h="15840"/>
      <w:pgMar w:top="81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4D83" w:rsidRDefault="00084D83">
      <w:r>
        <w:separator/>
      </w:r>
    </w:p>
  </w:endnote>
  <w:endnote w:type="continuationSeparator" w:id="0">
    <w:p w:rsidR="00084D83" w:rsidRDefault="00084D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4D83" w:rsidRDefault="00084D83">
      <w:r>
        <w:separator/>
      </w:r>
    </w:p>
  </w:footnote>
  <w:footnote w:type="continuationSeparator" w:id="0">
    <w:p w:rsidR="00084D83" w:rsidRDefault="00084D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A24E2"/>
    <w:multiLevelType w:val="hybridMultilevel"/>
    <w:tmpl w:val="0A304AC2"/>
    <w:lvl w:ilvl="0" w:tplc="AC1EAC98">
      <w:start w:val="1"/>
      <w:numFmt w:val="bullet"/>
      <w:pStyle w:val="MaterialBullet"/>
      <w:lvlText w:val=""/>
      <w:lvlJc w:val="left"/>
      <w:pPr>
        <w:tabs>
          <w:tab w:val="num" w:pos="120"/>
        </w:tabs>
        <w:ind w:left="120" w:hanging="120"/>
      </w:pPr>
      <w:rPr>
        <w:rFonts w:ascii="Symbol" w:hAnsi="Symbol" w:hint="default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05C5660"/>
    <w:multiLevelType w:val="hybridMultilevel"/>
    <w:tmpl w:val="11F68352"/>
    <w:lvl w:ilvl="0" w:tplc="04090001">
      <w:start w:val="1"/>
      <w:numFmt w:val="bullet"/>
      <w:pStyle w:val="DayTableBullet"/>
      <w:lvlText w:val=""/>
      <w:lvlJc w:val="left"/>
      <w:pPr>
        <w:tabs>
          <w:tab w:val="num" w:pos="160"/>
        </w:tabs>
        <w:ind w:left="160" w:hanging="1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8773F61"/>
    <w:multiLevelType w:val="hybridMultilevel"/>
    <w:tmpl w:val="5360FB86"/>
    <w:lvl w:ilvl="0" w:tplc="B1244D52">
      <w:start w:val="1"/>
      <w:numFmt w:val="bullet"/>
      <w:pStyle w:val="SideBarBullet"/>
      <w:lvlText w:val=""/>
      <w:lvlJc w:val="left"/>
      <w:pPr>
        <w:tabs>
          <w:tab w:val="num" w:pos="120"/>
        </w:tabs>
        <w:ind w:left="72" w:hanging="72"/>
      </w:pPr>
      <w:rPr>
        <w:rFonts w:ascii="Symbol" w:hAnsi="Symbol" w:hint="default"/>
        <w:color w:val="auto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stylePaneFormatFilter w:val="3F01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BE1CFA"/>
    <w:rsid w:val="00020D87"/>
    <w:rsid w:val="00084D83"/>
    <w:rsid w:val="00105142"/>
    <w:rsid w:val="00110A0D"/>
    <w:rsid w:val="001229E5"/>
    <w:rsid w:val="00147A65"/>
    <w:rsid w:val="001C4165"/>
    <w:rsid w:val="00232246"/>
    <w:rsid w:val="00397D2C"/>
    <w:rsid w:val="003A55F9"/>
    <w:rsid w:val="003F4C7F"/>
    <w:rsid w:val="005122D6"/>
    <w:rsid w:val="00553194"/>
    <w:rsid w:val="00581A92"/>
    <w:rsid w:val="0062229C"/>
    <w:rsid w:val="006551BC"/>
    <w:rsid w:val="00682926"/>
    <w:rsid w:val="007072E7"/>
    <w:rsid w:val="009968C2"/>
    <w:rsid w:val="00A16C14"/>
    <w:rsid w:val="00A53E16"/>
    <w:rsid w:val="00AE3A81"/>
    <w:rsid w:val="00B67BBE"/>
    <w:rsid w:val="00BA7815"/>
    <w:rsid w:val="00BE1CFA"/>
    <w:rsid w:val="00C13727"/>
    <w:rsid w:val="00D75A1B"/>
    <w:rsid w:val="00DE13EB"/>
    <w:rsid w:val="00E0275F"/>
    <w:rsid w:val="00E86664"/>
    <w:rsid w:val="00E87BF5"/>
    <w:rsid w:val="00E97D02"/>
    <w:rsid w:val="00EE5937"/>
    <w:rsid w:val="00F8429B"/>
    <w:rsid w:val="00FA3D19"/>
    <w:rsid w:val="00FD5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E1CFA"/>
    <w:rPr>
      <w:sz w:val="22"/>
      <w:szCs w:val="24"/>
      <w:lang w:val="en-CA"/>
    </w:rPr>
  </w:style>
  <w:style w:type="paragraph" w:styleId="Heading1">
    <w:name w:val="heading 1"/>
    <w:aliases w:val="Lesson Title"/>
    <w:basedOn w:val="Normal"/>
    <w:next w:val="Normal"/>
    <w:qFormat/>
    <w:rsid w:val="00E86664"/>
    <w:pPr>
      <w:keepNext/>
      <w:tabs>
        <w:tab w:val="right" w:pos="9360"/>
      </w:tabs>
      <w:spacing w:after="60"/>
      <w:outlineLvl w:val="0"/>
    </w:pPr>
    <w:rPr>
      <w:rFonts w:ascii="Arial" w:hAnsi="Arial" w:cs="Arial"/>
      <w:b/>
      <w:bCs/>
      <w:color w:val="0000FF"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Action">
    <w:name w:val="Action!"/>
    <w:link w:val="ActionChar"/>
    <w:autoRedefine/>
    <w:rsid w:val="00BE1CFA"/>
    <w:rPr>
      <w:rFonts w:ascii="Arial" w:hAnsi="Arial"/>
      <w:b/>
      <w:color w:val="FF0000"/>
      <w:szCs w:val="24"/>
      <w:lang w:val="en-CA"/>
    </w:rPr>
  </w:style>
  <w:style w:type="paragraph" w:customStyle="1" w:styleId="ConsolidateDebrief">
    <w:name w:val="Consolidate Debrief"/>
    <w:link w:val="ConsolidateDebriefChar"/>
    <w:rsid w:val="00BE1CFA"/>
    <w:pPr>
      <w:spacing w:before="120"/>
      <w:jc w:val="center"/>
    </w:pPr>
    <w:rPr>
      <w:rFonts w:ascii="Arial" w:hAnsi="Arial"/>
      <w:b/>
      <w:color w:val="0000FF"/>
      <w:szCs w:val="24"/>
      <w:lang w:val="en-CA"/>
    </w:rPr>
  </w:style>
  <w:style w:type="paragraph" w:customStyle="1" w:styleId="DayTableText">
    <w:name w:val="Day Table Text"/>
    <w:basedOn w:val="Normal"/>
    <w:rsid w:val="00BE1CFA"/>
    <w:rPr>
      <w:sz w:val="20"/>
    </w:rPr>
  </w:style>
  <w:style w:type="paragraph" w:customStyle="1" w:styleId="DayTableBullet">
    <w:name w:val="Day Table Bullet"/>
    <w:basedOn w:val="Normal"/>
    <w:rsid w:val="00BE1CFA"/>
    <w:pPr>
      <w:numPr>
        <w:numId w:val="1"/>
      </w:numPr>
    </w:pPr>
    <w:rPr>
      <w:sz w:val="20"/>
    </w:rPr>
  </w:style>
  <w:style w:type="paragraph" w:customStyle="1" w:styleId="DayTableSubHead">
    <w:name w:val="Day Table Sub Head"/>
    <w:rsid w:val="00BE1CFA"/>
    <w:rPr>
      <w:rFonts w:ascii="Arial" w:hAnsi="Arial"/>
      <w:b/>
      <w:szCs w:val="24"/>
      <w:u w:val="single"/>
      <w:lang w:val="en-CA"/>
    </w:rPr>
  </w:style>
  <w:style w:type="paragraph" w:customStyle="1" w:styleId="DayTitle">
    <w:name w:val="Day Title"/>
    <w:rsid w:val="00BE1CFA"/>
    <w:rPr>
      <w:rFonts w:ascii="Arial" w:hAnsi="Arial"/>
      <w:b/>
      <w:color w:val="0000FF"/>
      <w:sz w:val="24"/>
      <w:szCs w:val="24"/>
      <w:lang w:val="en-CA"/>
    </w:rPr>
  </w:style>
  <w:style w:type="paragraph" w:customStyle="1" w:styleId="GradeTitle">
    <w:name w:val="Grade Title"/>
    <w:autoRedefine/>
    <w:rsid w:val="00BE1CFA"/>
    <w:rPr>
      <w:rFonts w:ascii="Arial" w:hAnsi="Arial"/>
      <w:b/>
      <w:color w:val="0000FF"/>
      <w:szCs w:val="24"/>
      <w:lang w:val="en-CA"/>
    </w:rPr>
  </w:style>
  <w:style w:type="paragraph" w:customStyle="1" w:styleId="HomeActivity">
    <w:name w:val="Home Activity"/>
    <w:rsid w:val="00BE1CFA"/>
    <w:pPr>
      <w:spacing w:before="60"/>
    </w:pPr>
    <w:rPr>
      <w:rFonts w:ascii="Arial" w:hAnsi="Arial"/>
      <w:b/>
      <w:color w:val="0000FF"/>
      <w:szCs w:val="24"/>
      <w:u w:val="single"/>
      <w:lang w:val="en-CA"/>
    </w:rPr>
  </w:style>
  <w:style w:type="paragraph" w:customStyle="1" w:styleId="HomeActivitySideText">
    <w:name w:val="Home Activity Side Text"/>
    <w:rsid w:val="00BE1CFA"/>
    <w:rPr>
      <w:i/>
      <w:sz w:val="18"/>
      <w:szCs w:val="24"/>
      <w:lang w:val="en-CA"/>
    </w:rPr>
  </w:style>
  <w:style w:type="paragraph" w:customStyle="1" w:styleId="MaterialHead">
    <w:name w:val="Material Head"/>
    <w:rsid w:val="00BE1CFA"/>
    <w:rPr>
      <w:rFonts w:ascii="Arial" w:hAnsi="Arial"/>
      <w:b/>
      <w:sz w:val="18"/>
      <w:szCs w:val="24"/>
      <w:u w:val="single"/>
      <w:lang w:val="en-CA"/>
    </w:rPr>
  </w:style>
  <w:style w:type="paragraph" w:customStyle="1" w:styleId="MaterialBullet">
    <w:name w:val="Material Bullet"/>
    <w:rsid w:val="00BE1CFA"/>
    <w:pPr>
      <w:numPr>
        <w:numId w:val="2"/>
      </w:numPr>
    </w:pPr>
    <w:rPr>
      <w:sz w:val="18"/>
      <w:szCs w:val="24"/>
      <w:lang w:val="en-CA"/>
    </w:rPr>
  </w:style>
  <w:style w:type="paragraph" w:customStyle="1" w:styleId="SideBarText">
    <w:name w:val="Side Bar Text"/>
    <w:rsid w:val="00BE1CFA"/>
    <w:rPr>
      <w:rFonts w:ascii="Arial" w:hAnsi="Arial"/>
      <w:sz w:val="16"/>
      <w:szCs w:val="24"/>
      <w:lang w:val="en-CA"/>
    </w:rPr>
  </w:style>
  <w:style w:type="paragraph" w:customStyle="1" w:styleId="SideBarBullet">
    <w:name w:val="Side Bar Bullet"/>
    <w:rsid w:val="00BE1CFA"/>
    <w:pPr>
      <w:numPr>
        <w:numId w:val="3"/>
      </w:numPr>
    </w:pPr>
    <w:rPr>
      <w:rFonts w:ascii="Arial" w:hAnsi="Arial"/>
      <w:sz w:val="16"/>
      <w:szCs w:val="24"/>
      <w:lang w:val="en-CA"/>
    </w:rPr>
  </w:style>
  <w:style w:type="paragraph" w:customStyle="1" w:styleId="MindsOn">
    <w:name w:val="Minds On…"/>
    <w:basedOn w:val="Normal"/>
    <w:link w:val="MindsOnChar"/>
    <w:autoRedefine/>
    <w:rsid w:val="00BE1CFA"/>
    <w:rPr>
      <w:rFonts w:ascii="Arial" w:hAnsi="Arial"/>
      <w:b/>
      <w:color w:val="669900"/>
      <w:sz w:val="20"/>
    </w:rPr>
  </w:style>
  <w:style w:type="paragraph" w:styleId="Header">
    <w:name w:val="header"/>
    <w:basedOn w:val="Normal"/>
    <w:semiHidden/>
    <w:rsid w:val="00BE1CFA"/>
    <w:pPr>
      <w:tabs>
        <w:tab w:val="center" w:pos="4320"/>
        <w:tab w:val="right" w:pos="8640"/>
      </w:tabs>
    </w:pPr>
  </w:style>
  <w:style w:type="paragraph" w:customStyle="1" w:styleId="BLMText">
    <w:name w:val="BLM Text"/>
    <w:link w:val="BLMTextChar1"/>
    <w:rsid w:val="00BE1CFA"/>
    <w:rPr>
      <w:rFonts w:ascii="Arial" w:hAnsi="Arial"/>
      <w:sz w:val="22"/>
      <w:szCs w:val="24"/>
      <w:lang w:val="en-CA"/>
    </w:rPr>
  </w:style>
  <w:style w:type="paragraph" w:customStyle="1" w:styleId="DayTableTextwSpace">
    <w:name w:val="Day Table Text w/ Space"/>
    <w:autoRedefine/>
    <w:rsid w:val="00BE1CFA"/>
    <w:pPr>
      <w:spacing w:after="60"/>
    </w:pPr>
    <w:rPr>
      <w:szCs w:val="24"/>
      <w:lang w:val="en-CA"/>
    </w:rPr>
  </w:style>
  <w:style w:type="character" w:customStyle="1" w:styleId="ActionChar">
    <w:name w:val="Action! Char"/>
    <w:basedOn w:val="DefaultParagraphFont"/>
    <w:link w:val="Action"/>
    <w:rsid w:val="00BE1CFA"/>
    <w:rPr>
      <w:rFonts w:ascii="Arial" w:hAnsi="Arial"/>
      <w:b/>
      <w:color w:val="FF0000"/>
      <w:szCs w:val="24"/>
      <w:lang w:val="en-CA" w:eastAsia="en-US" w:bidi="ar-SA"/>
    </w:rPr>
  </w:style>
  <w:style w:type="paragraph" w:customStyle="1" w:styleId="DayTableSubHeadspace">
    <w:name w:val="Day Table Sub Head/space"/>
    <w:basedOn w:val="DayTableSubHead"/>
    <w:rsid w:val="00BE1CFA"/>
    <w:pPr>
      <w:spacing w:before="120"/>
    </w:pPr>
  </w:style>
  <w:style w:type="character" w:customStyle="1" w:styleId="BLMTextChar1">
    <w:name w:val="BLM Text Char1"/>
    <w:basedOn w:val="DefaultParagraphFont"/>
    <w:link w:val="BLMText"/>
    <w:rsid w:val="00BE1CFA"/>
    <w:rPr>
      <w:rFonts w:ascii="Arial" w:hAnsi="Arial"/>
      <w:sz w:val="22"/>
      <w:szCs w:val="24"/>
      <w:lang w:val="en-CA" w:eastAsia="en-US" w:bidi="ar-SA"/>
    </w:rPr>
  </w:style>
  <w:style w:type="paragraph" w:customStyle="1" w:styleId="timetext">
    <w:name w:val="time text"/>
    <w:rsid w:val="00BE1CFA"/>
    <w:pPr>
      <w:spacing w:after="60"/>
      <w:jc w:val="center"/>
    </w:pPr>
    <w:rPr>
      <w:szCs w:val="24"/>
      <w:lang w:val="en-CA"/>
    </w:rPr>
  </w:style>
  <w:style w:type="character" w:customStyle="1" w:styleId="MindsOnChar">
    <w:name w:val="Minds On… Char"/>
    <w:basedOn w:val="DefaultParagraphFont"/>
    <w:link w:val="MindsOn"/>
    <w:rsid w:val="00BE1CFA"/>
    <w:rPr>
      <w:rFonts w:ascii="Arial" w:hAnsi="Arial"/>
      <w:b/>
      <w:color w:val="669900"/>
      <w:szCs w:val="24"/>
      <w:lang w:val="en-CA" w:eastAsia="en-US" w:bidi="ar-SA"/>
    </w:rPr>
  </w:style>
  <w:style w:type="paragraph" w:customStyle="1" w:styleId="SideBarTexts">
    <w:name w:val="Side Bar Text #s"/>
    <w:rsid w:val="00BE1CFA"/>
    <w:pPr>
      <w:ind w:left="220" w:hanging="180"/>
    </w:pPr>
    <w:rPr>
      <w:rFonts w:ascii="Arial" w:hAnsi="Arial"/>
      <w:sz w:val="16"/>
      <w:szCs w:val="24"/>
      <w:lang w:val="en-CA"/>
    </w:rPr>
  </w:style>
  <w:style w:type="character" w:customStyle="1" w:styleId="ConsolidateDebriefChar">
    <w:name w:val="Consolidate Debrief Char"/>
    <w:basedOn w:val="DefaultParagraphFont"/>
    <w:link w:val="ConsolidateDebrief"/>
    <w:rsid w:val="00BE1CFA"/>
    <w:rPr>
      <w:rFonts w:ascii="Arial" w:hAnsi="Arial"/>
      <w:b/>
      <w:color w:val="0000FF"/>
      <w:szCs w:val="24"/>
      <w:lang w:val="en-CA" w:eastAsia="en-US" w:bidi="ar-SA"/>
    </w:rPr>
  </w:style>
  <w:style w:type="paragraph" w:styleId="Footer">
    <w:name w:val="footer"/>
    <w:basedOn w:val="Normal"/>
    <w:rsid w:val="00E86664"/>
    <w:pPr>
      <w:tabs>
        <w:tab w:val="center" w:pos="4320"/>
        <w:tab w:val="right" w:pos="8640"/>
      </w:tabs>
    </w:pPr>
  </w:style>
  <w:style w:type="paragraph" w:customStyle="1" w:styleId="BLMTitle">
    <w:name w:val="BLM Title"/>
    <w:rsid w:val="00E86664"/>
    <w:rPr>
      <w:rFonts w:ascii="Arial" w:hAnsi="Arial"/>
      <w:b/>
      <w:color w:val="0000FF"/>
      <w:sz w:val="32"/>
      <w:szCs w:val="24"/>
      <w:lang w:val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#: Day #: (Title)</vt:lpstr>
    </vt:vector>
  </TitlesOfParts>
  <Company>Government of Ontario</Company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#: Day #: (Title)</dc:title>
  <dc:subject/>
  <dc:creator>Irvine,Jeff</dc:creator>
  <cp:keywords/>
  <cp:lastModifiedBy>cchaput</cp:lastModifiedBy>
  <cp:revision>2</cp:revision>
  <dcterms:created xsi:type="dcterms:W3CDTF">2012-06-16T13:06:00Z</dcterms:created>
  <dcterms:modified xsi:type="dcterms:W3CDTF">2012-06-16T13:06:00Z</dcterms:modified>
</cp:coreProperties>
</file>